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BAC" w:rsidRPr="00B2327B" w:rsidRDefault="00011BAC" w:rsidP="00011BAC">
      <w:pPr>
        <w:spacing w:line="220" w:lineRule="atLeast"/>
        <w:rPr>
          <w:b/>
        </w:rPr>
      </w:pPr>
      <w:r w:rsidRPr="00B2327B">
        <w:rPr>
          <w:rFonts w:hint="eastAsia"/>
          <w:b/>
        </w:rPr>
        <w:t>六、其它研究</w:t>
      </w:r>
    </w:p>
    <w:tbl>
      <w:tblPr>
        <w:tblStyle w:val="a3"/>
        <w:tblW w:w="14000" w:type="dxa"/>
        <w:tblLook w:val="04A0"/>
      </w:tblPr>
      <w:tblGrid>
        <w:gridCol w:w="665"/>
        <w:gridCol w:w="4685"/>
        <w:gridCol w:w="968"/>
        <w:gridCol w:w="1929"/>
        <w:gridCol w:w="1126"/>
        <w:gridCol w:w="1253"/>
        <w:gridCol w:w="1161"/>
        <w:gridCol w:w="1109"/>
        <w:gridCol w:w="1104"/>
      </w:tblGrid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序号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论文名称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作者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发表刊物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发表年期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刊物类别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页码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作者排序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备注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北京社会影视公司电视节目生产状况分析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惠东坡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电视研究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2016.12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39-41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基于生态的京津冀生产性服务业发展探讨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李剑玲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经济与管理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2016.2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5-8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1/2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京津冀城镇化创新发展研究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李剑玲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河北大学学报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（哲学社科版）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2016.1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72-77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4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京津冀区域生态创新发展策略研究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李剑玲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中国高校科技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2016.4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36-38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北京人口、经济、居民消费与碳排放动态关系研究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张丽峰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干旱区资源与环境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2015.2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CSCD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8-13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6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基于比较优势理论的京津冀会展业协同发展研究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王春才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商业经济研究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2015.15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140-142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7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北京16区县经济差异分析:2005—2011年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胡艳君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资源开发与市场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2014.8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947-951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1/3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8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民国时期北京传统金工首饰行业考察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韩澄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文化遗产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2013.4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CSSCI 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85-90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9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基于变参数模型的北京碳排放影响因素研究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张丽峰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资源开发与市场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2013.12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1247-1250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10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“影像北京”的经济版图与文化软实力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王彦霞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商业时代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2013.25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144-145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11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民间传统技艺传承的美学视角——以点翠工艺为例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韩澄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内蒙古大学艺术学院学报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2012.3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12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Trimble Juno SB手持机结合</w:t>
            </w:r>
            <w:proofErr w:type="spellStart"/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ArcPad</w:t>
            </w:r>
            <w:proofErr w:type="spellEnd"/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软件在城市规划调查研究中的应用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周爱华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付晓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北京联合大学学报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（自然科学版）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2012.3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13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北京市“一日游”问题成因及对策探究——从旅游行业管理向旅游公共服务的转变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秦岭南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徐菊凤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中国商贸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2012.13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14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北京艺术区品牌建设模式的探究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景怀宇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张旗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艺术与设计（理论）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2012.Z1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15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再现北京水城风采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张佐友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北京规划设计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2011.1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16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北京绿色物流中可持续供应链的设计及评价体系研究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徐凯波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丛皓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中国商贸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17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北京沙河高教园区与城市边缘区协调发展研究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康艳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smartTag w:uri="urn:schemas-microsoft-com:office:smarttags" w:element="PersonName">
              <w:smartTagPr>
                <w:attr w:name="ProductID" w:val="赵西"/>
              </w:smartTagPr>
              <w:r w:rsidRPr="00B2327B"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t>赵西</w:t>
              </w:r>
            </w:smartTag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君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浙江树人大学学报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（人文社科版）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18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hyperlink r:id="rId4" w:tgtFrame="_blank" w:history="1">
              <w:r w:rsidRPr="00B2327B">
                <w:rPr>
                  <w:rFonts w:asciiTheme="minorEastAsia" w:eastAsiaTheme="minorEastAsia" w:hAnsiTheme="minorEastAsia"/>
                  <w:sz w:val="21"/>
                  <w:szCs w:val="21"/>
                </w:rPr>
                <w:t>留学生课外学习行为的调查研究——以北京联合大学留学生为例</w:t>
              </w:r>
            </w:hyperlink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刘东青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申莉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王青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国际汉语教育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19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北京CBD传媒产业发展现状及对策研究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潘月杰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钱春丽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张玉洁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特区经济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2011.5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社会影视公司在新媒体时代的影响力——以北京市为例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惠东坡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山西大同大学学报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（社会科学版）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2011.6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21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北京市农业保险与国内其他省、市农业保险比较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康意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杨泽云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东方企业文化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2011.8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22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创业型经济下北京创业政策分析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龚秀敏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特区经济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2011.9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23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北京农村职业教育实践中存在的问题及对策建议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陶春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吴智泉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资源与产业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2011.s1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24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/>
                <w:sz w:val="21"/>
                <w:szCs w:val="21"/>
              </w:rPr>
              <w:t>北京市低碳经济发展问题分析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王哓芳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商业时代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2010.35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132-134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1/3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25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jc w:val="center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发展北京农村职业教育的意义与对策研究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吴智泉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陶春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中国电力教育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2010.27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6-8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26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北京:“世界城市”定位背景下的土地资源宏观调控思路探讨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张远索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北京规划建设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2010.5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57-59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27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京郊观光休闲农业游客满意度的实证研究——以密云县观光休闲农业旅游为例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田彩云王明月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生产力研究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2010.8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37-39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28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北京市流动人口媒介素养现状调查与分析</w:t>
            </w:r>
          </w:p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杭孝平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新闻窗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2009.6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46-48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29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人民币实际有效汇率对北京市一般贸易影响的实证分析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韩莉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齐良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时代金融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2009.11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30-33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30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文化创意产业是建设“人文北京”的强大动力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吴勤学王晓芳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北京联合大学学报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（人文社会科学</w:t>
            </w: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版）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2009.04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30-34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lastRenderedPageBreak/>
              <w:t>31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人民币实际有效汇率和FDI流入对北京市加工贸易顺差影响的实证分析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韩莉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齐良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经济研究参考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2009.64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25-30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32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论中华文化中地域文化多样性的基本特征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刘宇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江汉论坛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2009.9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CSSCI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119-124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33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北京地区银行业与保险业交叉销售问题研究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傅巧灵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时代金融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2009.8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40-24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34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jc w:val="center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大学生村官在北京市新农村建设中作用的研究</w:t>
            </w:r>
          </w:p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郭淑敏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北京联合大学学报</w:t>
            </w:r>
          </w:p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（人文社会科学版）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2009.3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108-102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1/5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35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以保障性住房用地为先——高房价下北京市土地供应与储备的战略选择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张远索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中国土地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2009.7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北大核心</w:t>
            </w: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38-41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1/1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  <w:tr w:rsidR="00011BAC" w:rsidRPr="00B2327B" w:rsidTr="00CC361A">
        <w:tc>
          <w:tcPr>
            <w:tcW w:w="675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Bidi" w:hint="eastAsia"/>
                <w:sz w:val="21"/>
                <w:szCs w:val="21"/>
              </w:rPr>
              <w:t>36</w:t>
            </w:r>
          </w:p>
        </w:tc>
        <w:tc>
          <w:tcPr>
            <w:tcW w:w="4820" w:type="dxa"/>
          </w:tcPr>
          <w:p w:rsidR="00011BAC" w:rsidRPr="00B2327B" w:rsidRDefault="00011BAC" w:rsidP="00CC361A">
            <w:pPr>
              <w:pStyle w:val="2"/>
              <w:spacing w:before="120" w:beforeAutospacing="0" w:after="120" w:afterAutospacing="0" w:line="400" w:lineRule="exact"/>
              <w:outlineLvl w:val="1"/>
              <w:rPr>
                <w:rFonts w:asciiTheme="minorEastAsia" w:eastAsiaTheme="minorEastAsia" w:hAnsiTheme="minorEastAsia" w:cstheme="minorBidi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theme="minorBidi"/>
                <w:sz w:val="21"/>
                <w:szCs w:val="21"/>
              </w:rPr>
              <w:t>现代农业背景下京郊观光休闲农业产业提升研究</w:t>
            </w:r>
          </w:p>
        </w:tc>
        <w:tc>
          <w:tcPr>
            <w:tcW w:w="992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 w:cs="Arial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cs="Arial"/>
                <w:sz w:val="21"/>
                <w:szCs w:val="21"/>
              </w:rPr>
              <w:t>田彩云郭心义</w:t>
            </w:r>
          </w:p>
        </w:tc>
        <w:tc>
          <w:tcPr>
            <w:tcW w:w="198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山西农业科学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2009．7</w:t>
            </w:r>
          </w:p>
        </w:tc>
        <w:tc>
          <w:tcPr>
            <w:tcW w:w="1275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7-10</w:t>
            </w: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011BAC" w:rsidRPr="00B2327B" w:rsidRDefault="00011BAC" w:rsidP="00CC361A">
            <w:pPr>
              <w:spacing w:line="40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2327B">
              <w:rPr>
                <w:rFonts w:asciiTheme="minorEastAsia" w:eastAsiaTheme="minorEastAsia" w:hAnsiTheme="minorEastAsia" w:hint="eastAsia"/>
                <w:sz w:val="21"/>
                <w:szCs w:val="21"/>
              </w:rPr>
              <w:t>基地资助</w:t>
            </w:r>
          </w:p>
        </w:tc>
      </w:tr>
    </w:tbl>
    <w:p w:rsidR="00DD7718" w:rsidRDefault="00DD7718"/>
    <w:sectPr w:rsidR="00DD7718" w:rsidSect="00011BA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11BAC"/>
    <w:rsid w:val="00011BAC"/>
    <w:rsid w:val="00DD7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BAC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paragraph" w:styleId="2">
    <w:name w:val="heading 2"/>
    <w:basedOn w:val="a"/>
    <w:link w:val="2Char"/>
    <w:uiPriority w:val="9"/>
    <w:qFormat/>
    <w:rsid w:val="00011BAC"/>
    <w:pPr>
      <w:adjustRightInd/>
      <w:snapToGrid/>
      <w:spacing w:before="100" w:beforeAutospacing="1" w:after="100" w:afterAutospacing="1"/>
      <w:outlineLvl w:val="1"/>
    </w:pPr>
    <w:rPr>
      <w:rFonts w:ascii="Georgia" w:eastAsia="宋体" w:hAnsi="Georgia" w:cs="宋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011BAC"/>
    <w:rPr>
      <w:rFonts w:ascii="Georgia" w:eastAsia="宋体" w:hAnsi="Georgia" w:cs="宋体"/>
      <w:kern w:val="0"/>
      <w:sz w:val="36"/>
      <w:szCs w:val="36"/>
    </w:rPr>
  </w:style>
  <w:style w:type="table" w:styleId="a3">
    <w:name w:val="Table Grid"/>
    <w:basedOn w:val="a1"/>
    <w:uiPriority w:val="59"/>
    <w:rsid w:val="00011BAC"/>
    <w:rPr>
      <w:rFonts w:eastAsia="微软雅黑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pub.cnki.net/kns/detail/detail.aspx?QueryID=21&amp;CurRec=4&amp;recid=&amp;FileName=GHJY201103012&amp;DbName=CJFDLASN2014&amp;DbCode=CJFQ&amp;pr=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2018-05-03T10:57:00Z</dcterms:created>
  <dcterms:modified xsi:type="dcterms:W3CDTF">2018-05-03T10:57:00Z</dcterms:modified>
</cp:coreProperties>
</file>