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254" w:rsidRPr="00B2327B" w:rsidRDefault="00EC1254" w:rsidP="00EC1254">
      <w:pPr>
        <w:spacing w:line="220" w:lineRule="atLeast"/>
        <w:rPr>
          <w:b/>
        </w:rPr>
      </w:pPr>
      <w:r w:rsidRPr="00B2327B">
        <w:rPr>
          <w:rFonts w:hint="eastAsia"/>
          <w:b/>
        </w:rPr>
        <w:t>五、地方文献研究</w:t>
      </w:r>
    </w:p>
    <w:tbl>
      <w:tblPr>
        <w:tblStyle w:val="a3"/>
        <w:tblW w:w="14000" w:type="dxa"/>
        <w:tblLook w:val="04A0"/>
      </w:tblPr>
      <w:tblGrid>
        <w:gridCol w:w="673"/>
        <w:gridCol w:w="4771"/>
        <w:gridCol w:w="985"/>
        <w:gridCol w:w="1968"/>
        <w:gridCol w:w="1132"/>
        <w:gridCol w:w="1268"/>
        <w:gridCol w:w="951"/>
        <w:gridCol w:w="1127"/>
        <w:gridCol w:w="1125"/>
      </w:tblGrid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论文名称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作者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发表刊物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发表年期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刊物类别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页码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作者排序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备注</w:t>
            </w: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颐和园乾隆《西师诗》碑的意义和价值初探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于洪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学理论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2015.20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CSSCI 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85-87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蜕变中的都市——从《北京风俗问答》看20世纪初期北京城市的现代化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北京联合大学学报</w:t>
            </w:r>
          </w:p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（人文社科版）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2014.4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8-14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3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地方志与北京历史民俗研究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民俗研究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2012.4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4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对乡土民俗的关怀与书写——杨嗣昌和他的《武陵竞渡略》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文化遗产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2011.3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中国岁时民俗文献的书写传统及其成因分析——兼及这一传统对明代岁时民俗文献的影响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民族艺术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2011.3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6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燕京大学外籍教师文献档案的研究与利用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梁怡</w:t>
            </w:r>
          </w:p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韩小昆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北京联合大学学报</w:t>
            </w:r>
          </w:p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（人文社科版）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2011.1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7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《宛署杂记》中的岁时民俗记述研究</w:t>
            </w:r>
          </w:p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节日研究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2010.2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8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《帝京景物略》中的岁时民俗记述研究——兼及对当代民俗志书写的一点思考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民俗研究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2010.4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77-92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9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《酌中志·饮食好尚纪略》及其揭示的明代宫廷节日生活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北京联合大学学报</w:t>
            </w:r>
          </w:p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（人文社会科学版）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2010.4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84-90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10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北京学专题数据库建设初探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齐秀霞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情报探索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2010.11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69-71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EC1254" w:rsidRPr="00B2327B" w:rsidTr="00CC361A">
        <w:tc>
          <w:tcPr>
            <w:tcW w:w="6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11</w:t>
            </w:r>
          </w:p>
        </w:tc>
        <w:tc>
          <w:tcPr>
            <w:tcW w:w="4820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《北京岁华记》手抄本及其岁时民俗文献价值</w:t>
            </w:r>
          </w:p>
        </w:tc>
        <w:tc>
          <w:tcPr>
            <w:tcW w:w="992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张勃</w:t>
            </w:r>
          </w:p>
        </w:tc>
        <w:tc>
          <w:tcPr>
            <w:tcW w:w="198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文献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2010.3</w:t>
            </w:r>
          </w:p>
        </w:tc>
        <w:tc>
          <w:tcPr>
            <w:tcW w:w="1275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144-156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EC1254" w:rsidRPr="00B2327B" w:rsidRDefault="00EC1254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</w:tbl>
    <w:p w:rsidR="00DD7718" w:rsidRDefault="00DD7718"/>
    <w:sectPr w:rsidR="00DD7718" w:rsidSect="00EC12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1254"/>
    <w:rsid w:val="00DD7718"/>
    <w:rsid w:val="00EC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54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254"/>
    <w:rPr>
      <w:rFonts w:eastAsia="微软雅黑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2018-05-03T10:56:00Z</dcterms:created>
  <dcterms:modified xsi:type="dcterms:W3CDTF">2018-05-03T10:56:00Z</dcterms:modified>
</cp:coreProperties>
</file>